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00000"/>
          <w:sz w:val="44"/>
          <w:szCs w:val="44"/>
        </w:rPr>
      </w:pPr>
      <w:bookmarkStart w:id="0" w:name="_GoBack"/>
      <w:r>
        <w:rPr>
          <w:rFonts w:hint="eastAsia" w:ascii="方正小标宋_GBK" w:eastAsia="方正小标宋_GBK"/>
          <w:color w:val="000000"/>
          <w:sz w:val="44"/>
          <w:szCs w:val="44"/>
        </w:rPr>
        <w:t>北京市残疾儿童少年大额辅助器具购买补贴目录（2021年版）</w:t>
      </w:r>
    </w:p>
    <w:bookmarkEnd w:id="0"/>
    <w:tbl>
      <w:tblPr>
        <w:tblStyle w:val="2"/>
        <w:tblW w:w="137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88"/>
        <w:gridCol w:w="483"/>
        <w:gridCol w:w="1403"/>
        <w:gridCol w:w="464"/>
        <w:gridCol w:w="3391"/>
        <w:gridCol w:w="3612"/>
        <w:gridCol w:w="649"/>
        <w:gridCol w:w="1126"/>
        <w:gridCol w:w="627"/>
        <w:gridCol w:w="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666"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残疾</w:t>
            </w:r>
          </w:p>
          <w:p>
            <w:pPr>
              <w:widowControl/>
              <w:jc w:val="center"/>
              <w:rPr>
                <w:rFonts w:ascii="Times New Roman" w:hAnsi="Times New Roman" w:eastAsia="黑体"/>
                <w:bCs/>
                <w:color w:val="000000"/>
                <w:szCs w:val="21"/>
              </w:rPr>
            </w:pPr>
            <w:r>
              <w:rPr>
                <w:rFonts w:ascii="Times New Roman" w:hAnsi="Times New Roman" w:eastAsia="黑体"/>
                <w:bCs/>
                <w:color w:val="000000"/>
                <w:szCs w:val="21"/>
              </w:rPr>
              <w:t>类别</w:t>
            </w:r>
          </w:p>
        </w:tc>
        <w:tc>
          <w:tcPr>
            <w:tcW w:w="688"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辅具</w:t>
            </w:r>
          </w:p>
          <w:p>
            <w:pPr>
              <w:widowControl/>
              <w:jc w:val="center"/>
              <w:rPr>
                <w:rFonts w:ascii="Times New Roman" w:hAnsi="Times New Roman" w:eastAsia="黑体"/>
                <w:bCs/>
                <w:color w:val="000000"/>
                <w:szCs w:val="21"/>
              </w:rPr>
            </w:pPr>
            <w:r>
              <w:rPr>
                <w:rFonts w:ascii="Times New Roman" w:hAnsi="Times New Roman" w:eastAsia="黑体"/>
                <w:bCs/>
                <w:color w:val="000000"/>
                <w:szCs w:val="21"/>
              </w:rPr>
              <w:t>类别</w:t>
            </w:r>
          </w:p>
        </w:tc>
        <w:tc>
          <w:tcPr>
            <w:tcW w:w="483"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序号</w:t>
            </w:r>
          </w:p>
        </w:tc>
        <w:tc>
          <w:tcPr>
            <w:tcW w:w="1403"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名称</w:t>
            </w:r>
          </w:p>
        </w:tc>
        <w:tc>
          <w:tcPr>
            <w:tcW w:w="464"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单位</w:t>
            </w:r>
          </w:p>
        </w:tc>
        <w:tc>
          <w:tcPr>
            <w:tcW w:w="3391"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产品功能及说明</w:t>
            </w:r>
          </w:p>
        </w:tc>
        <w:tc>
          <w:tcPr>
            <w:tcW w:w="3612"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适用对象</w:t>
            </w:r>
          </w:p>
        </w:tc>
        <w:tc>
          <w:tcPr>
            <w:tcW w:w="649" w:type="dxa"/>
            <w:noWrap w:val="0"/>
            <w:tcMar>
              <w:left w:w="0" w:type="dxa"/>
              <w:right w:w="0" w:type="dxa"/>
            </w:tcMar>
            <w:vAlign w:val="center"/>
          </w:tcPr>
          <w:p>
            <w:pPr>
              <w:widowControl/>
              <w:jc w:val="center"/>
              <w:rPr>
                <w:rFonts w:hint="eastAsia" w:ascii="Times New Roman" w:hAnsi="Times New Roman" w:eastAsia="黑体"/>
                <w:bCs/>
                <w:color w:val="000000"/>
                <w:szCs w:val="21"/>
              </w:rPr>
            </w:pPr>
            <w:r>
              <w:rPr>
                <w:rFonts w:ascii="Times New Roman" w:hAnsi="Times New Roman" w:eastAsia="黑体"/>
                <w:bCs/>
                <w:color w:val="000000"/>
                <w:szCs w:val="21"/>
              </w:rPr>
              <w:t>使用</w:t>
            </w:r>
          </w:p>
          <w:p>
            <w:pPr>
              <w:widowControl/>
              <w:jc w:val="center"/>
              <w:rPr>
                <w:rFonts w:ascii="Times New Roman" w:hAnsi="Times New Roman" w:eastAsia="黑体"/>
                <w:bCs/>
                <w:color w:val="000000"/>
                <w:szCs w:val="21"/>
              </w:rPr>
            </w:pPr>
            <w:r>
              <w:rPr>
                <w:rFonts w:ascii="Times New Roman" w:hAnsi="Times New Roman" w:eastAsia="黑体"/>
                <w:bCs/>
                <w:color w:val="000000"/>
                <w:szCs w:val="21"/>
              </w:rPr>
              <w:t>年限</w:t>
            </w:r>
          </w:p>
        </w:tc>
        <w:tc>
          <w:tcPr>
            <w:tcW w:w="1126"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补贴标准（元）</w:t>
            </w:r>
          </w:p>
        </w:tc>
        <w:tc>
          <w:tcPr>
            <w:tcW w:w="627"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评估</w:t>
            </w:r>
          </w:p>
          <w:p>
            <w:pPr>
              <w:widowControl/>
              <w:jc w:val="center"/>
              <w:rPr>
                <w:rFonts w:ascii="Times New Roman" w:hAnsi="Times New Roman" w:eastAsia="黑体"/>
                <w:bCs/>
                <w:color w:val="000000"/>
                <w:szCs w:val="21"/>
              </w:rPr>
            </w:pPr>
            <w:r>
              <w:rPr>
                <w:rFonts w:ascii="Times New Roman" w:hAnsi="Times New Roman" w:eastAsia="黑体"/>
                <w:bCs/>
                <w:color w:val="000000"/>
                <w:szCs w:val="21"/>
              </w:rPr>
              <w:t>级别</w:t>
            </w:r>
          </w:p>
        </w:tc>
        <w:tc>
          <w:tcPr>
            <w:tcW w:w="612" w:type="dxa"/>
            <w:noWrap w:val="0"/>
            <w:tcMar>
              <w:left w:w="0" w:type="dxa"/>
              <w:right w:w="0" w:type="dxa"/>
            </w:tcMar>
            <w:vAlign w:val="center"/>
          </w:tcPr>
          <w:p>
            <w:pPr>
              <w:widowControl/>
              <w:jc w:val="center"/>
              <w:rPr>
                <w:rFonts w:ascii="Times New Roman" w:hAnsi="Times New Roman" w:eastAsia="黑体"/>
                <w:bCs/>
                <w:color w:val="000000"/>
                <w:szCs w:val="21"/>
              </w:rPr>
            </w:pPr>
            <w:r>
              <w:rPr>
                <w:rFonts w:ascii="Times New Roman" w:hAnsi="Times New Roman" w:eastAsia="黑体"/>
                <w:bCs/>
                <w:color w:val="00000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肢体残疾</w:t>
            </w: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个人 移动 辅具</w:t>
            </w: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1</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普通轮椅</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手动四轮轮椅，包括助推轮椅、手动轮椅、儿童轮椅等（任选其一），为固定扶手，固定式脚踏板。</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适用于下肢残疾,需借助轮椅长距离移动的残疾儿童少年。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1200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2</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活扶手轮椅</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扶手可掀或可拆卸，踏板可翻、高度可调的，踏板支架可外旋的手动四轮轮椅，包括儿童轮椅。</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适用于长时间乘坐轮椅，且需在轮椅上进行位置转移的截瘫、偏瘫等残疾儿童少年。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1300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3</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高靠背轮椅</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配有头枕、身体固定带、腿托等配件，靠背可调为全躺位或半躺位的手动轮椅。</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适用于难以在轮椅上保持坐姿但需较长时间依赖轮椅移动的重度肢体残疾儿童少年。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1600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4</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电动轮椅(室内型)</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电驱动四轮轮椅，有单手操控电子控制装置的轮椅。</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适用于需借助轮椅生活、不具备使用手动轮椅能力、经评估有单手能够操控轮椅控制器、无认知障碍的四肢瘫等重度肢体残疾儿童少年。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区级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5</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儿童脑瘫专用轮椅</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辅助代步功能，除轮椅基本配置外，各种有头靠和固定及限位装置，靠背可调为半躺位的手动轮椅。</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适用于脑瘫儿童等，障碍较重不能独立行走的残疾儿童少年。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市级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6" w:type="dxa"/>
            <w:vMerge w:val="continue"/>
            <w:noWrap w:val="0"/>
            <w:vAlign w:val="center"/>
          </w:tcPr>
          <w:p>
            <w:pPr>
              <w:widowControl/>
              <w:jc w:val="center"/>
              <w:rPr>
                <w:rFonts w:ascii="Times New Roman" w:hAnsi="Times New Roman"/>
                <w:b/>
                <w:bCs/>
                <w:color w:val="000000"/>
                <w:szCs w:val="21"/>
              </w:rPr>
            </w:pP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个人生活自理和防护类辅具</w:t>
            </w: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6</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多功能护理床</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张</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钢制框架、带护栏、床垫和床边桌。</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适用于长期卧床无法自行起身的重度残疾儿童少年。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2800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7</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防褥疮床垫</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张</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具有分散局部压力功能的床垫，包括交替充气型和记忆海绵垫等。</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适用于长时间卧床、无法自行翻身的重度残疾儿童少年。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1200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8</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防褥疮座垫</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张</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具有分散局部压力功能的座垫，包括气道、记忆海绵垫等材质。</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适用于需长时间乘坐轮椅的残疾儿童少年。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700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肢体残疾</w:t>
            </w:r>
          </w:p>
        </w:tc>
        <w:tc>
          <w:tcPr>
            <w:tcW w:w="688" w:type="dxa"/>
            <w:vMerge w:val="restart"/>
            <w:noWrap w:val="0"/>
            <w:vAlign w:val="center"/>
          </w:tcPr>
          <w:p>
            <w:pPr>
              <w:widowControl/>
              <w:jc w:val="center"/>
              <w:rPr>
                <w:rFonts w:ascii="Times New Roman" w:hAnsi="Times New Roman"/>
                <w:bCs/>
                <w:color w:val="FF0000"/>
                <w:szCs w:val="21"/>
              </w:rPr>
            </w:pPr>
            <w:r>
              <w:rPr>
                <w:rFonts w:ascii="Times New Roman" w:hAnsi="Times New Roman"/>
                <w:bCs/>
                <w:szCs w:val="21"/>
              </w:rPr>
              <w:t>康复辅具</w:t>
            </w: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9</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儿童站立架</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个</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辅助站立，桌面和立位角度可调,胸部、膝部和脚踝处有固定和限位辅助装置。</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适用于肢体功能障碍，需借助站立架保持站立姿势进行训练的残疾儿童少年。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10</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儿童坐姿保持装置</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定制产品，需取型制作，包括限位及固定装置，可放置在相应的轮椅或夹角椅上。</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适用于身体重度变形，一般坐姿椅和轮椅无法提供支撑的肢体残疾儿童。</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11</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儿童坐姿保持椅</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辅助保持坐姿，具有调整功能，有放置双手的操作平台、限位装置。</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适用于不能自行保持坐姿的残疾儿童。</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restart"/>
            <w:noWrap w:val="0"/>
            <w:vAlign w:val="center"/>
          </w:tcPr>
          <w:p>
            <w:pPr>
              <w:jc w:val="center"/>
              <w:rPr>
                <w:rFonts w:ascii="Times New Roman" w:hAnsi="Times New Roman"/>
                <w:bCs/>
                <w:color w:val="000000"/>
                <w:szCs w:val="21"/>
              </w:rPr>
            </w:pPr>
            <w:r>
              <w:rPr>
                <w:rFonts w:ascii="Times New Roman" w:hAnsi="Times New Roman"/>
                <w:bCs/>
                <w:color w:val="000000"/>
                <w:szCs w:val="21"/>
              </w:rPr>
              <w:t>儿童少年假肢</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12</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足部假肢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代偿足部缺失部分的结构和功能。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适用于部分足截肢，经评估适合装配的残疾儿童少年。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3700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jc w:val="center"/>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13</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赛姆假肢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代偿踝部截肢者部分结构和功能得到改善。</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适用于踝部截肢、赛姆截肢或小腿残肢过长，经评估适合装配的残疾儿童少年。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jc w:val="center"/>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szCs w:val="21"/>
              </w:rPr>
            </w:pPr>
            <w:r>
              <w:rPr>
                <w:rFonts w:ascii="Times New Roman" w:hAnsi="Times New Roman"/>
                <w:bCs/>
                <w:szCs w:val="21"/>
              </w:rPr>
              <w:t>14</w:t>
            </w:r>
          </w:p>
        </w:tc>
        <w:tc>
          <w:tcPr>
            <w:tcW w:w="1403" w:type="dxa"/>
            <w:noWrap w:val="0"/>
            <w:vAlign w:val="center"/>
          </w:tcPr>
          <w:p>
            <w:pPr>
              <w:widowControl/>
              <w:jc w:val="left"/>
              <w:rPr>
                <w:rFonts w:ascii="Times New Roman" w:hAnsi="Times New Roman"/>
                <w:szCs w:val="21"/>
              </w:rPr>
            </w:pPr>
            <w:r>
              <w:rPr>
                <w:rFonts w:ascii="Times New Roman" w:hAnsi="Times New Roman"/>
                <w:szCs w:val="21"/>
              </w:rPr>
              <w:t>小腿假肢</w:t>
            </w:r>
          </w:p>
        </w:tc>
        <w:tc>
          <w:tcPr>
            <w:tcW w:w="464" w:type="dxa"/>
            <w:noWrap w:val="0"/>
            <w:vAlign w:val="center"/>
          </w:tcPr>
          <w:p>
            <w:pPr>
              <w:widowControl/>
              <w:jc w:val="center"/>
              <w:rPr>
                <w:rFonts w:ascii="Times New Roman" w:hAnsi="Times New Roman"/>
                <w:szCs w:val="21"/>
              </w:rPr>
            </w:pPr>
            <w:r>
              <w:rPr>
                <w:rFonts w:ascii="Times New Roman" w:hAnsi="Times New Roman"/>
                <w:szCs w:val="21"/>
              </w:rPr>
              <w:t>具</w:t>
            </w:r>
          </w:p>
        </w:tc>
        <w:tc>
          <w:tcPr>
            <w:tcW w:w="3391" w:type="dxa"/>
            <w:noWrap w:val="0"/>
            <w:vAlign w:val="center"/>
          </w:tcPr>
          <w:p>
            <w:pPr>
              <w:widowControl/>
              <w:jc w:val="left"/>
              <w:rPr>
                <w:rFonts w:ascii="Times New Roman" w:hAnsi="Times New Roman"/>
                <w:szCs w:val="21"/>
              </w:rPr>
            </w:pPr>
            <w:r>
              <w:rPr>
                <w:rFonts w:ascii="Times New Roman" w:hAnsi="Times New Roman"/>
                <w:szCs w:val="21"/>
              </w:rPr>
              <w:t>代偿小腿缺失部分的结构和功能。</w:t>
            </w:r>
          </w:p>
        </w:tc>
        <w:tc>
          <w:tcPr>
            <w:tcW w:w="3612" w:type="dxa"/>
            <w:noWrap w:val="0"/>
            <w:vAlign w:val="center"/>
          </w:tcPr>
          <w:p>
            <w:pPr>
              <w:widowControl/>
              <w:jc w:val="left"/>
              <w:rPr>
                <w:rFonts w:ascii="Times New Roman" w:hAnsi="Times New Roman"/>
                <w:szCs w:val="21"/>
              </w:rPr>
            </w:pPr>
            <w:r>
              <w:rPr>
                <w:rFonts w:ascii="Times New Roman" w:hAnsi="Times New Roman"/>
                <w:szCs w:val="21"/>
              </w:rPr>
              <w:t>适用于小腿截肢，经评估适合装配的残疾儿童少年。</w:t>
            </w:r>
          </w:p>
        </w:tc>
        <w:tc>
          <w:tcPr>
            <w:tcW w:w="649" w:type="dxa"/>
            <w:noWrap w:val="0"/>
            <w:vAlign w:val="center"/>
          </w:tcPr>
          <w:p>
            <w:pPr>
              <w:widowControl/>
              <w:jc w:val="center"/>
              <w:rPr>
                <w:rFonts w:ascii="Times New Roman" w:hAnsi="Times New Roman"/>
                <w:szCs w:val="21"/>
              </w:rPr>
            </w:pPr>
            <w:r>
              <w:rPr>
                <w:rFonts w:ascii="Times New Roman" w:hAnsi="Times New Roman"/>
                <w:szCs w:val="21"/>
              </w:rPr>
              <w:t>1</w:t>
            </w:r>
          </w:p>
        </w:tc>
        <w:tc>
          <w:tcPr>
            <w:tcW w:w="1126" w:type="dxa"/>
            <w:noWrap w:val="0"/>
            <w:vAlign w:val="center"/>
          </w:tcPr>
          <w:p>
            <w:pPr>
              <w:widowControl/>
              <w:jc w:val="center"/>
              <w:rPr>
                <w:rFonts w:ascii="Times New Roman" w:hAnsi="Times New Roman"/>
                <w:szCs w:val="21"/>
              </w:rPr>
            </w:pPr>
            <w:r>
              <w:rPr>
                <w:rFonts w:ascii="Times New Roman" w:hAnsi="Times New Roman"/>
                <w:szCs w:val="21"/>
              </w:rPr>
              <w:t>5000</w:t>
            </w:r>
          </w:p>
        </w:tc>
        <w:tc>
          <w:tcPr>
            <w:tcW w:w="627" w:type="dxa"/>
            <w:noWrap w:val="0"/>
            <w:tcMar>
              <w:left w:w="0" w:type="dxa"/>
              <w:right w:w="0" w:type="dxa"/>
            </w:tcMar>
            <w:vAlign w:val="center"/>
          </w:tcPr>
          <w:p>
            <w:pPr>
              <w:widowControl/>
              <w:jc w:val="center"/>
              <w:rPr>
                <w:rFonts w:ascii="Times New Roman" w:hAnsi="Times New Roman"/>
                <w:szCs w:val="21"/>
              </w:rPr>
            </w:pPr>
            <w:r>
              <w:rPr>
                <w:rFonts w:ascii="Times New Roman" w:hAnsi="Times New Roman"/>
                <w:szCs w:val="21"/>
              </w:rPr>
              <w:t>初级</w:t>
            </w:r>
          </w:p>
        </w:tc>
        <w:tc>
          <w:tcPr>
            <w:tcW w:w="612" w:type="dxa"/>
            <w:noWrap w:val="0"/>
            <w:vAlign w:val="center"/>
          </w:tcPr>
          <w:p>
            <w:pPr>
              <w:widowControl/>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jc w:val="center"/>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15</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膝部假肢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代偿膝部截肢者缺失部分的结构和功能。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适用于膝关节离断、小腿极短残肢、大腿残肢过长经评估适合装配的残疾儿童少年。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10000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jc w:val="center"/>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16</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大腿假肢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代偿大腿截肢者缺失部分的结构和功能。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适用于大腿截肢者，经评估适合装配下肢假肢的残疾儿童少年。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10000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jc w:val="center"/>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17</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髋部假肢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代偿髋部截肢者缺失部分的结构和功能。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适用于髋关节离断或大腿残肢过短的截肢者，经评估适合装配下肢假肢的残疾儿童少年。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11000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肢体残疾</w:t>
            </w: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儿童少年假肢</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18</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手部假肢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适用于单个手指、多个手指缺损者和掌骨截肢的残疾儿童少年。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19</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腕离断假肢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适用于腕离断或前臂长残肢的残疾儿童少年。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vMerge w:val="continue"/>
            <w:noWrap w:val="0"/>
            <w:vAlign w:val="center"/>
          </w:tcPr>
          <w:p>
            <w:pPr>
              <w:widowControl/>
              <w:jc w:val="center"/>
              <w:rPr>
                <w:rFonts w:ascii="Times New Roman" w:hAnsi="Times New Roman"/>
                <w:b/>
                <w:bCs/>
                <w:color w:val="000000"/>
                <w:szCs w:val="21"/>
              </w:rPr>
            </w:pPr>
          </w:p>
        </w:tc>
        <w:tc>
          <w:tcPr>
            <w:tcW w:w="688" w:type="dxa"/>
            <w:vMerge w:val="continue"/>
            <w:noWrap w:val="0"/>
            <w:vAlign w:val="center"/>
          </w:tcPr>
          <w:p>
            <w:pPr>
              <w:widowControl/>
              <w:jc w:val="center"/>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20</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前臂假肢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适用于前臂截肢的残疾儿童少年。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21</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肘离断假肢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适用于肘离断或上臂残肢过长、前臂极短残肢的残疾儿童少年。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6600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22</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上臂假肢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适用于上臂截肢的残疾儿童少年。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7000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23</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肩部假肢</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弥补外观缺损或代偿功能。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适用于肩离断或上臂残肢过短的残疾儿童少年。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7000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儿童少年矫形器</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24</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足矫形器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只</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取型定制，用皮革、塑料及金属材料制作，用于改善足部功能。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扁平足、高弓足、内外翻足、糖尿病足、足弓部扭伤受压迫，胫骨后肌腱疼痛及前脚底疼痛等，经评估适合装配的足部功能障碍的残疾儿童少年。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25</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矫形鞋</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双</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通过定制方式在鞋内加装材料，用于改善足部功能。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　</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1400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26</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腕手矫形器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取型定制，用皮革、塑料及金属材料制作，用于改善腕部功能。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手部畸形、掌指关节不能主动伸展、垂腕等残疾儿童少年。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700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27</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脊柱矫形器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取型定制，起到控制或矫正脊柱侧弯，起支撑、固定、减荷、保护、矫正作用。</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脊柱损伤或变形的残疾儿童少年。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28</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踝足矫形器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取型定制，固定或限制踝关节活动，起到稳定和保护踝关节作用。</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伤病导致的足下垂、内外翻足、踝关节无法控制等残疾儿童少年。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600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肢体残疾</w:t>
            </w:r>
          </w:p>
        </w:tc>
        <w:tc>
          <w:tcPr>
            <w:tcW w:w="688" w:type="dxa"/>
            <w:vMerge w:val="restart"/>
            <w:noWrap w:val="0"/>
            <w:vAlign w:val="center"/>
          </w:tcPr>
          <w:p>
            <w:pPr>
              <w:widowControl/>
              <w:jc w:val="center"/>
              <w:rPr>
                <w:rFonts w:ascii="Times New Roman" w:hAnsi="Times New Roman"/>
                <w:b/>
                <w:bCs/>
                <w:color w:val="000000"/>
                <w:szCs w:val="21"/>
              </w:rPr>
            </w:pPr>
            <w:r>
              <w:rPr>
                <w:rFonts w:ascii="Times New Roman" w:hAnsi="Times New Roman"/>
                <w:bCs/>
                <w:color w:val="000000"/>
                <w:szCs w:val="21"/>
              </w:rPr>
              <w:t>儿童少年矫形器</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29</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膝踝足矫形器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具</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取型定制，起到固定或限制膝关节、踝关节活动，腿部支撑、矫正畸形等功能。</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膝内翻、膝外翻、膝过伸、屈膝肌无力、膝韧带损伤、膝关节骨性关节炎等疾病引起的功能障碍，经过评估需装配的残疾儿童少年。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2500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30</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膝部矫形器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只</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固定膝部关节和辅助支撑。</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膝内翻、膝外翻、膝过伸、屈膝肌无力、膝韧带损伤、膝关节骨性关节炎等疾病引起的功能障碍，经过评估需装配残疾儿童少年。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1600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31</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髋矫形器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只</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固定和控制髋关节的屈曲、伸展、内收、外展等运动。</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适用于痉挛型脑瘫、先天性髋臼发育不良、髋关节内旋或外旋、佩特兹病等引起的下肢功能障碍，经过评估需要装配髋矫形器的残疾儿童少年。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0.5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1600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视力残疾</w:t>
            </w: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沟通和信息生活类辅具</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32</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手持式电子助视器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件</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便携式电子放大设备，放大倍数可调。</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适用于年满6周岁的有残余视力的视力残疾儿童少年。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1100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33</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台式电子助视器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带台式电子显示屏的助视器，放大倍数可调可分为近用台式电子助视器，近远两用台式电子助视器及便携式近远两用电子助视器（配置显示器）等（任选其一）。</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适用于有残余视力，具备使用环境的视力残疾儿童少年。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8300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市级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34</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放大软件</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件</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能够放大屏幕上所有图文信息，如：放大窗口，改善字体，可调整屏幕颜色等。</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适用于已经自行配置电脑的视力残疾儿童少年。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66" w:type="dxa"/>
            <w:vMerge w:val="restart"/>
            <w:noWrap w:val="0"/>
            <w:vAlign w:val="center"/>
          </w:tcPr>
          <w:p>
            <w:pPr>
              <w:widowControl/>
              <w:jc w:val="center"/>
              <w:rPr>
                <w:rFonts w:ascii="Times New Roman" w:hAnsi="Times New Roman"/>
                <w:b/>
                <w:bCs/>
                <w:color w:val="000000"/>
                <w:szCs w:val="21"/>
              </w:rPr>
            </w:pPr>
            <w:r>
              <w:rPr>
                <w:rFonts w:ascii="Times New Roman" w:hAnsi="Times New Roman"/>
                <w:b/>
                <w:bCs/>
                <w:color w:val="000000"/>
                <w:szCs w:val="21"/>
              </w:rPr>
              <w:t>听力残疾</w:t>
            </w:r>
          </w:p>
        </w:tc>
        <w:tc>
          <w:tcPr>
            <w:tcW w:w="688" w:type="dxa"/>
            <w:vMerge w:val="restart"/>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沟通和信息类辅具</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35</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助听器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台</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全数字信号处理，多通道压缩技术，输出功率包含中功率、大功率、特大功率。</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适用于有残余听力的听力残疾儿童少年。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6000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36</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调频系统接收装置</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套</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包含连接音靴和接收器各一个，与助听器或人工耳蜗相连，能接受来自发射器的声音信号。可接收远距离调频信号，使讲话者的语音信号直接传送到听障者的耳内。</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适用于已经配置了助听器或人工电子耳蜗的就学或接受康复的听力残疾儿童少年。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5</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4000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37</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人工耳蜗装置</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套</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将声信号转换成电信号，通过植入到内耳的电极，直接刺激听神经末梢，引起听觉。</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适用于年龄不满7周岁，经评估鉴定符合植入人工电子耳蜗条件的听力残疾儿童。</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158000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定点</w:t>
            </w:r>
          </w:p>
          <w:p>
            <w:pPr>
              <w:widowControl/>
              <w:jc w:val="center"/>
              <w:rPr>
                <w:rFonts w:ascii="Times New Roman" w:hAnsi="Times New Roman"/>
                <w:color w:val="000000"/>
                <w:szCs w:val="21"/>
              </w:rPr>
            </w:pPr>
            <w:r>
              <w:rPr>
                <w:rFonts w:ascii="Times New Roman" w:hAnsi="Times New Roman"/>
                <w:color w:val="000000"/>
                <w:szCs w:val="21"/>
              </w:rPr>
              <w:t>医院</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6" w:type="dxa"/>
            <w:vMerge w:val="continue"/>
            <w:noWrap w:val="0"/>
            <w:vAlign w:val="center"/>
          </w:tcPr>
          <w:p>
            <w:pPr>
              <w:widowControl/>
              <w:jc w:val="left"/>
              <w:rPr>
                <w:rFonts w:ascii="Times New Roman" w:hAnsi="Times New Roman"/>
                <w:b/>
                <w:bCs/>
                <w:color w:val="000000"/>
                <w:szCs w:val="21"/>
              </w:rPr>
            </w:pPr>
          </w:p>
        </w:tc>
        <w:tc>
          <w:tcPr>
            <w:tcW w:w="688" w:type="dxa"/>
            <w:vMerge w:val="continue"/>
            <w:noWrap w:val="0"/>
            <w:vAlign w:val="center"/>
          </w:tcPr>
          <w:p>
            <w:pPr>
              <w:widowControl/>
              <w:jc w:val="left"/>
              <w:rPr>
                <w:rFonts w:ascii="Times New Roman" w:hAnsi="Times New Roman"/>
                <w:bCs/>
                <w:color w:val="000000"/>
                <w:szCs w:val="21"/>
              </w:rPr>
            </w:pP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38</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人工耳蜗言语处理器升级</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次</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产品性能升级换代。</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适用于年龄未满16周岁，未享受本市人工耳蜗植入补贴的的听力残疾儿童少年。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60000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66" w:type="dxa"/>
            <w:shd w:val="clear" w:color="000000" w:fill="FFFFFF"/>
            <w:noWrap w:val="0"/>
            <w:vAlign w:val="center"/>
          </w:tcPr>
          <w:p>
            <w:pPr>
              <w:widowControl/>
              <w:jc w:val="center"/>
              <w:rPr>
                <w:rFonts w:ascii="Times New Roman" w:hAnsi="Times New Roman"/>
                <w:b/>
                <w:color w:val="000000"/>
                <w:szCs w:val="21"/>
              </w:rPr>
            </w:pPr>
            <w:r>
              <w:rPr>
                <w:rFonts w:ascii="Times New Roman" w:hAnsi="Times New Roman"/>
                <w:b/>
                <w:color w:val="000000"/>
                <w:szCs w:val="21"/>
              </w:rPr>
              <w:t>精神智力残疾</w:t>
            </w:r>
          </w:p>
        </w:tc>
        <w:tc>
          <w:tcPr>
            <w:tcW w:w="688" w:type="dxa"/>
            <w:noWrap w:val="0"/>
            <w:vAlign w:val="center"/>
          </w:tcPr>
          <w:p>
            <w:pPr>
              <w:widowControl/>
              <w:jc w:val="center"/>
              <w:rPr>
                <w:rFonts w:ascii="Times New Roman" w:hAnsi="Times New Roman"/>
                <w:bCs/>
                <w:color w:val="000000"/>
                <w:szCs w:val="21"/>
              </w:rPr>
            </w:pPr>
            <w:r>
              <w:rPr>
                <w:rFonts w:ascii="Times New Roman" w:hAnsi="Times New Roman"/>
                <w:bCs/>
                <w:color w:val="000000"/>
                <w:szCs w:val="21"/>
              </w:rPr>
              <w:t>安全辅具</w:t>
            </w:r>
          </w:p>
        </w:tc>
        <w:tc>
          <w:tcPr>
            <w:tcW w:w="483" w:type="dxa"/>
            <w:noWrap w:val="0"/>
            <w:vAlign w:val="center"/>
          </w:tcPr>
          <w:p>
            <w:pPr>
              <w:widowControl/>
              <w:jc w:val="center"/>
              <w:rPr>
                <w:rFonts w:ascii="Times New Roman" w:hAnsi="Times New Roman" w:eastAsia="仿宋_GB2312"/>
                <w:bCs/>
                <w:color w:val="000000"/>
                <w:szCs w:val="21"/>
              </w:rPr>
            </w:pPr>
            <w:r>
              <w:rPr>
                <w:rFonts w:ascii="Times New Roman" w:hAnsi="Times New Roman"/>
                <w:bCs/>
                <w:color w:val="000000"/>
                <w:szCs w:val="21"/>
              </w:rPr>
              <w:t>39</w:t>
            </w:r>
          </w:p>
        </w:tc>
        <w:tc>
          <w:tcPr>
            <w:tcW w:w="1403"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防走失腕表</w:t>
            </w:r>
          </w:p>
        </w:tc>
        <w:tc>
          <w:tcPr>
            <w:tcW w:w="464"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个</w:t>
            </w:r>
          </w:p>
        </w:tc>
        <w:tc>
          <w:tcPr>
            <w:tcW w:w="3391"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通过卫星定位系统，可以防走失的手环、腕表、挂件。</w:t>
            </w:r>
          </w:p>
        </w:tc>
        <w:tc>
          <w:tcPr>
            <w:tcW w:w="3612" w:type="dxa"/>
            <w:noWrap w:val="0"/>
            <w:vAlign w:val="center"/>
          </w:tcPr>
          <w:p>
            <w:pPr>
              <w:widowControl/>
              <w:jc w:val="left"/>
              <w:rPr>
                <w:rFonts w:ascii="Times New Roman" w:hAnsi="Times New Roman"/>
                <w:color w:val="000000"/>
                <w:szCs w:val="21"/>
              </w:rPr>
            </w:pPr>
            <w:r>
              <w:rPr>
                <w:rFonts w:ascii="Times New Roman" w:hAnsi="Times New Roman"/>
                <w:color w:val="000000"/>
                <w:szCs w:val="21"/>
              </w:rPr>
              <w:t>适用于年满6周岁的精神残疾和智力残疾儿童少年。</w:t>
            </w:r>
          </w:p>
        </w:tc>
        <w:tc>
          <w:tcPr>
            <w:tcW w:w="649"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3</w:t>
            </w:r>
          </w:p>
        </w:tc>
        <w:tc>
          <w:tcPr>
            <w:tcW w:w="1126" w:type="dxa"/>
            <w:noWrap w:val="0"/>
            <w:vAlign w:val="center"/>
          </w:tcPr>
          <w:p>
            <w:pPr>
              <w:widowControl/>
              <w:jc w:val="center"/>
              <w:rPr>
                <w:rFonts w:ascii="Times New Roman" w:hAnsi="Times New Roman"/>
                <w:color w:val="000000"/>
                <w:szCs w:val="21"/>
              </w:rPr>
            </w:pPr>
            <w:r>
              <w:rPr>
                <w:rFonts w:ascii="Times New Roman" w:hAnsi="Times New Roman"/>
                <w:color w:val="000000"/>
                <w:szCs w:val="21"/>
              </w:rPr>
              <w:t>700</w:t>
            </w:r>
          </w:p>
        </w:tc>
        <w:tc>
          <w:tcPr>
            <w:tcW w:w="627" w:type="dxa"/>
            <w:noWrap w:val="0"/>
            <w:tcMar>
              <w:left w:w="0" w:type="dxa"/>
              <w:right w:w="0" w:type="dxa"/>
            </w:tcMar>
            <w:vAlign w:val="center"/>
          </w:tcPr>
          <w:p>
            <w:pPr>
              <w:widowControl/>
              <w:jc w:val="center"/>
              <w:rPr>
                <w:rFonts w:ascii="Times New Roman" w:hAnsi="Times New Roman"/>
                <w:color w:val="000000"/>
                <w:szCs w:val="21"/>
              </w:rPr>
            </w:pPr>
            <w:r>
              <w:rPr>
                <w:rFonts w:ascii="Times New Roman" w:hAnsi="Times New Roman"/>
                <w:color w:val="000000"/>
                <w:szCs w:val="21"/>
              </w:rPr>
              <w:t>初级</w:t>
            </w:r>
          </w:p>
        </w:tc>
        <w:tc>
          <w:tcPr>
            <w:tcW w:w="612" w:type="dxa"/>
            <w:noWrap w:val="0"/>
            <w:vAlign w:val="center"/>
          </w:tcPr>
          <w:p>
            <w:pPr>
              <w:widowControl/>
              <w:jc w:val="center"/>
              <w:rPr>
                <w:rFonts w:ascii="Times New Roman" w:hAnsi="Times New Roman"/>
                <w:color w:val="000000"/>
                <w:szCs w:val="21"/>
              </w:rPr>
            </w:pPr>
          </w:p>
        </w:tc>
      </w:tr>
    </w:tbl>
    <w:p>
      <w:pPr>
        <w:spacing w:line="560" w:lineRule="exact"/>
        <w:rPr>
          <w:rFonts w:ascii="Times New Roman" w:hAnsi="Times New Roman"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mViMDM2OTQ4OGY2ZGY0ODFhMzQ0ZmE4OTE1ZDQifQ=="/>
  </w:docVars>
  <w:rsids>
    <w:rsidRoot w:val="5ADD6BB3"/>
    <w:rsid w:val="5ADD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2841</Words>
  <Characters>3008</Characters>
  <Lines>0</Lines>
  <Paragraphs>0</Paragraphs>
  <TotalTime>0</TotalTime>
  <ScaleCrop>false</ScaleCrop>
  <LinksUpToDate>false</LinksUpToDate>
  <CharactersWithSpaces>3011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2022-05-23T04:29:00Z</dcterms:created>
  <dc:creator>Mr.Liu</dc:creator>
  <cp:lastModifiedBy>Mr.Liu</cp:lastModifiedBy>
  <dcterms:modified xsi:type="dcterms:W3CDTF">2022-05-23T04:30:02Z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6807E6CE503D4F649B95A589CCFC6E4D</vt:lpwstr>
  </property>
</Properties>
</file>