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附件1. 温馨家园基本运行经费预算绩效管理参考指标</w:t>
      </w:r>
    </w:p>
    <w:tbl>
      <w:tblPr>
        <w:tblStyle w:val="4"/>
        <w:tblW w:w="1404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2017"/>
        <w:gridCol w:w="1170"/>
        <w:gridCol w:w="5528"/>
        <w:gridCol w:w="992"/>
        <w:gridCol w:w="1985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绩效考核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重点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主要内容</w:t>
            </w:r>
          </w:p>
        </w:tc>
        <w:tc>
          <w:tcPr>
            <w:tcW w:w="10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参考指标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数量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质量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时效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效果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成本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场地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房屋安全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符合《北京市房屋建筑使用安全管理办法》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温馨家园在本地稳定、长期运行，访客体验安全、舒适、便利。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预算批准金额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消防安全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符合《中华人民共和国消防法》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食品安全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符合《中华人民共和国食品安全法》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环境卫生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卫生、干净、整洁，符合《公共场所卫生管理条例》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合法使用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未触及红线范围，不属于新建违章建筑、绿地、大市政规划用地，并未纳入国土规划重点监控范围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最低使用年限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2年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近期不进行拆除、大型装修改造、迁址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无障碍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单体无障碍设施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符合《无障碍设计规范》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（GB50763-2012）和《北京市无障碍环境建设标准化图示图集》相关要求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各类别残疾人自主、安全、方便地通行和使用温馨家园场地设施。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整体无障碍设施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系统完备、实用、可接驳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无障碍标识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信息准确、易识别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无障碍服务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便利、合理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人员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园长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专职，参照社区工作者条件；社区（村）级专兼职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温馨家园运行得到稳定、持续、专业的人力资源保障；残疾人获得人际交往的信任感和安全感，感到被尊重。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综合服务人员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1人以上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根据实际需要配备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专业服务人员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1人以上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根据服务对象的数量、类别、项目需求匹配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明确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岗前培训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40学时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社会化、专业化服务知识技能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次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管理人员岗位培训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16学时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社会化、专业化服务知识技能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每年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管理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考勤、考核、奖惩等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资质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与提供的专业服务相应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规范化建设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安全、消防、卫生、防疫、财务、档案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工作事项和标准明确，有迹可循。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制度执行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相关制度切实可行，根据制度实施管理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信息化管理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北京市残联温馨家园信息管理系统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日常管理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资金管理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专款专用，单独建账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温馨家园运行有序，服务管理和提供形成闭环；具有公信力；对残疾人形成吸引力。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需求调查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入户、访谈、电话、问卷、微信等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定期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服务记录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服务对象名单、服务时间、服务内容、服务评价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定期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满意度调查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入户、访谈、电话、问卷、微信等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定期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固定开放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法定工作日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每周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服务信息公开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地址、电话、联系人、开放时间、服务项目及对象、重要通知公告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定期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服务管理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服务项目设置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符合各级温馨家园服务项目清单要求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每年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温馨家园的知晓率提升；更多残疾人愿意主动申请服务，参加温馨家园举办的活动。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专业服务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符合行业标准和服务流程要求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长期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覆盖率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覆盖所有年龄段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每年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覆盖所有残疾类别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每年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60%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地区人户一致残疾人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每年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满意率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bidi="ar"/>
              </w:rPr>
              <w:t>90%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响应程度、专业知识和技能、服务态度、职业操守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lang w:bidi="ar"/>
              </w:rPr>
              <w:t>每年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Hans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AzMDg3OTE4N2Q2MGFhM2JiODViMmU0OGQ4YmIifQ=="/>
  </w:docVars>
  <w:rsids>
    <w:rsidRoot w:val="64EF079D"/>
    <w:rsid w:val="64E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1059</Characters>
  <Lines>0</Lines>
  <Paragraphs>0</Paragraphs>
  <TotalTime>0</TotalTime>
  <ScaleCrop>false</ScaleCrop>
  <LinksUpToDate>false</LinksUpToDate>
  <CharactersWithSpaces>1060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2023-08-08T06:56:00Z</dcterms:created>
  <dc:creator>Mr.Liu</dc:creator>
  <cp:lastModifiedBy>Mr.Liu</cp:lastModifiedBy>
  <dcterms:modified xsi:type="dcterms:W3CDTF">2023-08-08T06:56:56Z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A003B28B94A64DEB80F322CB071BDE3A_11</vt:lpwstr>
  </property>
</Properties>
</file>